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43316"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36466DBA" wp14:editId="46EC5388">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503303F5" w14:textId="77777777" w:rsidR="00A972A5" w:rsidRPr="00C175F9" w:rsidRDefault="0029122D" w:rsidP="00B14985">
                            <w:pPr>
                              <w:jc w:val="right"/>
                              <w:rPr>
                                <w:rFonts w:ascii="Calibri Light" w:hAnsi="Calibri Light"/>
                                <w:b/>
                                <w:color w:val="FF0000"/>
                                <w:sz w:val="20"/>
                              </w:rPr>
                            </w:pPr>
                            <w:hyperlink r:id="rId8" w:history="1">
                              <w:r w:rsidR="00A972A5"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66DBA"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503303F5" w14:textId="77777777" w:rsidR="00A972A5" w:rsidRPr="00C175F9" w:rsidRDefault="0029122D" w:rsidP="00B14985">
                      <w:pPr>
                        <w:jc w:val="right"/>
                        <w:rPr>
                          <w:rFonts w:ascii="Calibri Light" w:hAnsi="Calibri Light"/>
                          <w:b/>
                          <w:color w:val="FF0000"/>
                          <w:sz w:val="20"/>
                        </w:rPr>
                      </w:pPr>
                      <w:hyperlink r:id="rId9" w:history="1">
                        <w:r w:rsidR="00A972A5"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734D75E0" wp14:editId="7DAFFAAC">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8038C" w14:textId="77777777" w:rsidR="00A972A5" w:rsidRPr="00831B07" w:rsidRDefault="00A972A5"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D75E0"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518038C" w14:textId="77777777" w:rsidR="00A972A5" w:rsidRPr="00831B07" w:rsidRDefault="00A972A5"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2D3CD5E" w14:textId="77777777" w:rsidTr="001E6192">
        <w:trPr>
          <w:trHeight w:val="592"/>
        </w:trPr>
        <w:tc>
          <w:tcPr>
            <w:tcW w:w="1890" w:type="dxa"/>
            <w:gridSpan w:val="2"/>
            <w:vAlign w:val="center"/>
          </w:tcPr>
          <w:p w14:paraId="64B886FE"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633092B1" wp14:editId="59787407">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161F9A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55719E54" w14:textId="77777777" w:rsidR="009C2829" w:rsidRPr="000257FB" w:rsidRDefault="0052069E" w:rsidP="00BA429D">
            <w:pPr>
              <w:pStyle w:val="Header"/>
              <w:jc w:val="center"/>
              <w:rPr>
                <w:rFonts w:asciiTheme="majorHAnsi" w:hAnsiTheme="majorHAnsi"/>
                <w:b/>
              </w:rPr>
            </w:pPr>
            <w:r>
              <w:rPr>
                <w:rFonts w:asciiTheme="majorHAnsi" w:hAnsiTheme="majorHAnsi"/>
                <w:b/>
                <w:sz w:val="22"/>
              </w:rPr>
              <w:t xml:space="preserve">Jan. </w:t>
            </w:r>
            <w:r w:rsidR="00986848">
              <w:rPr>
                <w:rFonts w:asciiTheme="majorHAnsi" w:hAnsiTheme="majorHAnsi"/>
                <w:b/>
                <w:sz w:val="22"/>
              </w:rPr>
              <w:t>1</w:t>
            </w:r>
            <w:r w:rsidR="00BA429D">
              <w:rPr>
                <w:rFonts w:asciiTheme="majorHAnsi" w:hAnsiTheme="majorHAnsi"/>
                <w:b/>
                <w:sz w:val="22"/>
              </w:rPr>
              <w:t>9</w:t>
            </w:r>
            <w:r w:rsidR="009C2829">
              <w:rPr>
                <w:rFonts w:asciiTheme="majorHAnsi" w:hAnsiTheme="majorHAnsi"/>
                <w:b/>
                <w:sz w:val="22"/>
              </w:rPr>
              <w:t>, 201</w:t>
            </w:r>
            <w:r>
              <w:rPr>
                <w:rFonts w:asciiTheme="majorHAnsi" w:hAnsiTheme="majorHAnsi"/>
                <w:b/>
                <w:sz w:val="22"/>
              </w:rPr>
              <w:t>7</w:t>
            </w:r>
          </w:p>
        </w:tc>
      </w:tr>
      <w:tr w:rsidR="009C2829" w:rsidRPr="00B14985" w14:paraId="4903020C"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127A4241"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7D0827AD" wp14:editId="3CE710B5">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74C6671"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0778C926" wp14:editId="3FC95EA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59109274"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6FC6619D" w14:textId="32504592" w:rsidR="00936B3A" w:rsidRDefault="0029122D" w:rsidP="008B6179">
            <w:pPr>
              <w:rPr>
                <w:rFonts w:ascii="Calibri Light" w:hAnsi="Calibri Light"/>
                <w:b/>
                <w:noProof/>
                <w:sz w:val="20"/>
              </w:rPr>
            </w:pPr>
            <w:r>
              <w:rPr>
                <w:rFonts w:ascii="Calibri Light" w:hAnsi="Calibri Light"/>
                <w:b/>
                <w:noProof/>
                <w:sz w:val="20"/>
              </w:rPr>
              <w:t>OCE</w:t>
            </w:r>
          </w:p>
          <w:p w14:paraId="28F13E53" w14:textId="77777777" w:rsidR="0029122D" w:rsidRPr="0029122D" w:rsidRDefault="0029122D" w:rsidP="0029122D">
            <w:pPr>
              <w:rPr>
                <w:rFonts w:ascii="Calibri Light" w:hAnsi="Calibri Light"/>
                <w:noProof/>
                <w:sz w:val="20"/>
              </w:rPr>
            </w:pPr>
            <w:r w:rsidRPr="0029122D">
              <w:rPr>
                <w:rFonts w:ascii="Calibri Light" w:hAnsi="Calibri Light"/>
                <w:noProof/>
                <w:sz w:val="20"/>
              </w:rPr>
              <w:t>Dr. Sarah Baxley is the new Co-Director of the OB/Gyn clerkship previously held by Dr. Gwen Richardson who has recently been appointed as Co-Director of the OB/Gyn residency program.  Drs. Bill Mileski and Lance Griffin are now the Co-Directors of the surgery clerkship, replacing Dr. Kimberly Brown who has accepted a position at Dell Medical School in Austin.  </w:t>
            </w:r>
          </w:p>
          <w:p w14:paraId="49F0C739" w14:textId="77777777" w:rsidR="0029122D" w:rsidRPr="0029122D" w:rsidRDefault="0029122D" w:rsidP="0029122D">
            <w:pPr>
              <w:rPr>
                <w:rFonts w:ascii="Calibri Light" w:hAnsi="Calibri Light"/>
                <w:noProof/>
                <w:sz w:val="20"/>
              </w:rPr>
            </w:pPr>
          </w:p>
          <w:p w14:paraId="3517C414" w14:textId="77777777" w:rsidR="0029122D" w:rsidRPr="0029122D" w:rsidRDefault="0029122D" w:rsidP="0029122D">
            <w:pPr>
              <w:rPr>
                <w:rFonts w:ascii="Calibri Light" w:hAnsi="Calibri Light"/>
                <w:noProof/>
                <w:sz w:val="20"/>
              </w:rPr>
            </w:pPr>
            <w:r w:rsidRPr="0029122D">
              <w:rPr>
                <w:rFonts w:ascii="Calibri Light" w:hAnsi="Calibri Light"/>
                <w:noProof/>
                <w:sz w:val="20"/>
              </w:rPr>
              <w:t>Congratulations to all!</w:t>
            </w:r>
          </w:p>
          <w:p w14:paraId="10368839" w14:textId="77777777" w:rsidR="0029122D" w:rsidRDefault="0029122D" w:rsidP="008B6179">
            <w:pPr>
              <w:rPr>
                <w:rFonts w:ascii="Calibri Light" w:hAnsi="Calibri Light"/>
                <w:noProof/>
                <w:sz w:val="20"/>
              </w:rPr>
            </w:pPr>
          </w:p>
          <w:p w14:paraId="1714BADE" w14:textId="77777777" w:rsidR="0029122D" w:rsidRDefault="0029122D" w:rsidP="008B6179">
            <w:pPr>
              <w:rPr>
                <w:rFonts w:ascii="Calibri Light" w:hAnsi="Calibri Light"/>
                <w:b/>
                <w:noProof/>
                <w:sz w:val="20"/>
              </w:rPr>
            </w:pPr>
            <w:r>
              <w:rPr>
                <w:rFonts w:ascii="Calibri Light" w:hAnsi="Calibri Light"/>
                <w:b/>
                <w:noProof/>
                <w:sz w:val="20"/>
              </w:rPr>
              <w:t>OSSA</w:t>
            </w:r>
          </w:p>
          <w:p w14:paraId="78F810B5" w14:textId="667F9F03" w:rsidR="0029122D" w:rsidRPr="0029122D" w:rsidRDefault="0029122D" w:rsidP="0029122D">
            <w:pPr>
              <w:rPr>
                <w:rFonts w:ascii="Calibri Light" w:hAnsi="Calibri Light"/>
                <w:noProof/>
                <w:sz w:val="20"/>
              </w:rPr>
            </w:pPr>
            <w:r w:rsidRPr="0029122D">
              <w:rPr>
                <w:rFonts w:ascii="Calibri Light" w:hAnsi="Calibri Light"/>
                <w:bCs/>
                <w:noProof/>
                <w:sz w:val="20"/>
              </w:rPr>
              <w:t xml:space="preserve">Course Tutors: </w:t>
            </w:r>
            <w:r w:rsidRPr="0029122D">
              <w:rPr>
                <w:rFonts w:ascii="Calibri Light" w:hAnsi="Calibri Light"/>
                <w:noProof/>
                <w:sz w:val="20"/>
              </w:rPr>
              <w:t>EER &amp; PHD tutors have been identified and trained by Dr. Tara Tuchaai, Sr. Learning &amp; Support Specialist. On January 16, 2017 Students began participating in small and large. The training for tutors includes: understanding and developing teaching strategies, shadowing an experienced tutor, developing learning objectives for tutor sessions, and deploying higher order questioning to enhance the student engagement in complex cognitive skill development and application.</w:t>
            </w:r>
          </w:p>
          <w:p w14:paraId="4904364B" w14:textId="77777777" w:rsidR="0029122D" w:rsidRPr="0029122D" w:rsidRDefault="0029122D" w:rsidP="0029122D">
            <w:pPr>
              <w:rPr>
                <w:rFonts w:ascii="Calibri Light" w:hAnsi="Calibri Light"/>
                <w:bCs/>
                <w:noProof/>
                <w:sz w:val="20"/>
              </w:rPr>
            </w:pPr>
            <w:r w:rsidRPr="0029122D">
              <w:rPr>
                <w:rFonts w:ascii="Calibri Light" w:hAnsi="Calibri Light"/>
                <w:bCs/>
                <w:noProof/>
                <w:sz w:val="20"/>
              </w:rPr>
              <w:t xml:space="preserve">                </w:t>
            </w:r>
          </w:p>
          <w:p w14:paraId="5FA5E3F7" w14:textId="41A3ACEB" w:rsidR="0029122D" w:rsidRPr="0029122D" w:rsidRDefault="0029122D" w:rsidP="0029122D">
            <w:pPr>
              <w:rPr>
                <w:rFonts w:ascii="Calibri Light" w:hAnsi="Calibri Light"/>
                <w:bCs/>
                <w:noProof/>
                <w:sz w:val="20"/>
              </w:rPr>
            </w:pPr>
            <w:r w:rsidRPr="0029122D">
              <w:rPr>
                <w:rFonts w:ascii="Calibri Light" w:hAnsi="Calibri Light"/>
                <w:bCs/>
                <w:noProof/>
                <w:sz w:val="20"/>
              </w:rPr>
              <w:t xml:space="preserve">USMLE Step 1 Preparation: </w:t>
            </w:r>
            <w:r w:rsidRPr="0029122D">
              <w:rPr>
                <w:rFonts w:ascii="Calibri Light" w:hAnsi="Calibri Light"/>
                <w:noProof/>
                <w:sz w:val="20"/>
              </w:rPr>
              <w:t xml:space="preserve">Activities to support student success on the USMLE Step 1 exam are underway. The Step 1 Kick-off meeting for the Class of 2019 will be led by Dr. Sofia Cano, Director of Academic Support &amp; Career Counseling, January 25, 2017, in Levin Hall South, from 5 -7 pm. Attendance at the Step 1 Kickoff is mandatory for students. </w:t>
            </w:r>
          </w:p>
          <w:p w14:paraId="3F2D8CC3" w14:textId="77777777" w:rsidR="0029122D" w:rsidRPr="0029122D" w:rsidRDefault="0029122D" w:rsidP="0029122D">
            <w:pPr>
              <w:rPr>
                <w:rFonts w:ascii="Calibri Light" w:hAnsi="Calibri Light"/>
                <w:bCs/>
                <w:noProof/>
                <w:sz w:val="20"/>
              </w:rPr>
            </w:pPr>
            <w:r w:rsidRPr="0029122D">
              <w:rPr>
                <w:rFonts w:ascii="Calibri Light" w:hAnsi="Calibri Light"/>
                <w:bCs/>
                <w:noProof/>
                <w:sz w:val="20"/>
              </w:rPr>
              <w:t xml:space="preserve">                </w:t>
            </w:r>
          </w:p>
          <w:p w14:paraId="7A277071" w14:textId="517DE310" w:rsidR="0029122D" w:rsidRPr="0029122D" w:rsidRDefault="0029122D" w:rsidP="0029122D">
            <w:pPr>
              <w:rPr>
                <w:rFonts w:ascii="Calibri Light" w:hAnsi="Calibri Light"/>
                <w:bCs/>
                <w:noProof/>
                <w:sz w:val="20"/>
              </w:rPr>
            </w:pPr>
            <w:r w:rsidRPr="0029122D">
              <w:rPr>
                <w:rFonts w:ascii="Calibri Light" w:hAnsi="Calibri Light"/>
                <w:bCs/>
                <w:noProof/>
                <w:sz w:val="20"/>
              </w:rPr>
              <w:t xml:space="preserve">Step 1 Mentors: </w:t>
            </w:r>
            <w:r w:rsidRPr="0029122D">
              <w:rPr>
                <w:rFonts w:ascii="Calibri Light" w:hAnsi="Calibri Light"/>
                <w:noProof/>
                <w:sz w:val="20"/>
              </w:rPr>
              <w:t xml:space="preserve">Dr. Cano and Dr. Tuchaai created and led a training seminar January 17, 2017, 5 – 7 pm for Step 1 Mentors to support the Class of 2019 Step 1 study preparation. The training topics included the importance of creating individualized study plans, the use of NBME practice exam performance bars to modify study plans, and how to assess progress on readiness for the Step 1 exam. </w:t>
            </w:r>
          </w:p>
          <w:p w14:paraId="5611869A" w14:textId="77777777" w:rsidR="0029122D" w:rsidRPr="0029122D" w:rsidRDefault="0029122D" w:rsidP="0029122D">
            <w:pPr>
              <w:rPr>
                <w:rFonts w:ascii="Calibri Light" w:hAnsi="Calibri Light"/>
                <w:noProof/>
                <w:sz w:val="20"/>
              </w:rPr>
            </w:pPr>
            <w:r w:rsidRPr="0029122D">
              <w:rPr>
                <w:rFonts w:ascii="Calibri Light" w:hAnsi="Calibri Light"/>
                <w:noProof/>
                <w:sz w:val="20"/>
              </w:rPr>
              <w:t xml:space="preserve">Twenty-five MS3 and MS4 students have been hired as Step 1 Mentors to support the Class of 2019 Step 1 study preparation. Students who were invited to apply for consideration as Step 1 mentors were selected from the Class of 2018 and Class of 2017 based on academic performance, previous tutoring experience and recommendations. </w:t>
            </w:r>
          </w:p>
          <w:p w14:paraId="001B4C71" w14:textId="77777777" w:rsidR="0029122D" w:rsidRPr="0029122D" w:rsidRDefault="0029122D" w:rsidP="0029122D">
            <w:pPr>
              <w:rPr>
                <w:rFonts w:ascii="Calibri Light" w:hAnsi="Calibri Light"/>
                <w:bCs/>
                <w:noProof/>
                <w:sz w:val="20"/>
              </w:rPr>
            </w:pPr>
            <w:r w:rsidRPr="0029122D">
              <w:rPr>
                <w:rFonts w:ascii="Calibri Light" w:hAnsi="Calibri Light"/>
                <w:bCs/>
                <w:noProof/>
                <w:sz w:val="20"/>
              </w:rPr>
              <w:t>               </w:t>
            </w:r>
          </w:p>
          <w:p w14:paraId="2842BAC9" w14:textId="55B38A74" w:rsidR="0029122D" w:rsidRPr="0029122D" w:rsidRDefault="0029122D" w:rsidP="0029122D">
            <w:pPr>
              <w:rPr>
                <w:rFonts w:ascii="Calibri Light" w:hAnsi="Calibri Light"/>
                <w:noProof/>
                <w:sz w:val="20"/>
              </w:rPr>
            </w:pPr>
            <w:r w:rsidRPr="0029122D">
              <w:rPr>
                <w:rFonts w:ascii="Calibri Light" w:hAnsi="Calibri Light"/>
                <w:bCs/>
                <w:noProof/>
                <w:sz w:val="20"/>
              </w:rPr>
              <w:t xml:space="preserve">The first Comprehensive Basic Science Exam (CBSE #1) for Class of 2019 </w:t>
            </w:r>
            <w:r w:rsidRPr="0029122D">
              <w:rPr>
                <w:rFonts w:ascii="Calibri Light" w:hAnsi="Calibri Light"/>
                <w:noProof/>
                <w:sz w:val="20"/>
              </w:rPr>
              <w:t>was administered Saturday, January 21, 2017 in the UTMB Computer Testing Center. Dr. Cano served as Chief Proctor with assistance from Frances Dawe and Shirley Pullen, who served as Assistant Chief Proctor.  Additional proctors included the following staff from OSAA: Erma Caesar, Valerie Carmichael, Rita Copado, Debra Liedy, Trea Smith, Driana Urbina,  Dr. Richard Carroll, Dr. Julie McKee, Dr. Norma Perez, Dr. Jeffrey Rabek, and Dr. Tara Tuchaai.</w:t>
            </w:r>
            <w:bookmarkStart w:id="0" w:name="_GoBack"/>
            <w:bookmarkEnd w:id="0"/>
          </w:p>
        </w:tc>
        <w:tc>
          <w:tcPr>
            <w:tcW w:w="5940" w:type="dxa"/>
            <w:gridSpan w:val="2"/>
          </w:tcPr>
          <w:p w14:paraId="23046CBD" w14:textId="77777777" w:rsidR="008F3550" w:rsidRDefault="008F3550" w:rsidP="00A83199">
            <w:pPr>
              <w:rPr>
                <w:rFonts w:asciiTheme="majorHAnsi" w:hAnsiTheme="majorHAnsi" w:cs="Arial"/>
                <w:b/>
                <w:bCs/>
                <w:spacing w:val="-2"/>
                <w:szCs w:val="20"/>
              </w:rPr>
            </w:pPr>
          </w:p>
          <w:p w14:paraId="7BCC5F94" w14:textId="77777777" w:rsidR="00BE01D0" w:rsidRDefault="00BA429D" w:rsidP="00BE01D0">
            <w:pPr>
              <w:rPr>
                <w:rFonts w:asciiTheme="majorHAnsi" w:hAnsiTheme="majorHAnsi" w:cs="Arial"/>
                <w:b/>
                <w:bCs/>
                <w:spacing w:val="-2"/>
                <w:szCs w:val="20"/>
              </w:rPr>
            </w:pPr>
            <w:r>
              <w:rPr>
                <w:rFonts w:asciiTheme="majorHAnsi" w:hAnsiTheme="majorHAnsi" w:cs="Arial"/>
                <w:b/>
                <w:bCs/>
                <w:spacing w:val="-2"/>
                <w:szCs w:val="20"/>
              </w:rPr>
              <w:t>Clinical affiliation agreement between UTMB, Baptist Hospitals of Southeast Texas</w:t>
            </w:r>
            <w:r w:rsidR="00BE01D0">
              <w:rPr>
                <w:rFonts w:asciiTheme="majorHAnsi" w:hAnsiTheme="majorHAnsi" w:cs="Arial"/>
                <w:b/>
                <w:bCs/>
                <w:spacing w:val="-2"/>
                <w:szCs w:val="20"/>
              </w:rPr>
              <w:t>:</w:t>
            </w:r>
          </w:p>
          <w:p w14:paraId="6A7BB78F" w14:textId="77777777" w:rsidR="00214F6F" w:rsidRPr="00BA429D" w:rsidRDefault="00BA429D" w:rsidP="000B7007">
            <w:pPr>
              <w:rPr>
                <w:rFonts w:ascii="Calibri Light" w:hAnsi="Calibri Light" w:cs="Arial"/>
                <w:sz w:val="20"/>
                <w:szCs w:val="20"/>
              </w:rPr>
            </w:pPr>
            <w:r w:rsidRPr="00BA429D">
              <w:rPr>
                <w:rFonts w:ascii="Calibri Light" w:hAnsi="Calibri Light" w:cs="Arial"/>
                <w:sz w:val="20"/>
                <w:szCs w:val="20"/>
              </w:rPr>
              <w:t>UTMB and Baptist Hospitals of Southeast Texas (BHSET) signed a clinical affiliation agreement, effective Jan. 1, 2017. This affiliation builds on the strengths of both organizations to provide the most advanced patient care for adult and pediatric patients in the Beaumont area and the surrounding region. Under provisions of the agreement, the two organizations will work closely together to increase quality and access to care for patients in the Beaumont area in need of multiple medical specialties and services. The organizations will also explore using UTMB’s extensive telemedicine technology network to provide consultations in psychiatry and psychology, gynecologic oncology, pediatrics and pediatric ophthalmology.</w:t>
            </w:r>
          </w:p>
          <w:p w14:paraId="273DE076" w14:textId="77777777" w:rsidR="00BA429D" w:rsidRPr="00214F6F" w:rsidRDefault="00BA429D" w:rsidP="000B7007">
            <w:pPr>
              <w:rPr>
                <w:rFonts w:ascii="Calibri Light" w:hAnsi="Calibri Light"/>
                <w:sz w:val="20"/>
                <w:szCs w:val="20"/>
              </w:rPr>
            </w:pPr>
          </w:p>
          <w:p w14:paraId="0BD8DDD8" w14:textId="77777777" w:rsidR="00BE01D0" w:rsidRPr="005D163A" w:rsidRDefault="00BA429D"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w:t>
            </w:r>
            <w:r w:rsidR="00BE01D0" w:rsidRPr="005D163A">
              <w:rPr>
                <w:rFonts w:asciiTheme="majorHAnsi" w:eastAsia="Times New Roman" w:hAnsiTheme="majorHAnsi" w:cs="Arial"/>
                <w:b/>
                <w:color w:val="000000" w:themeColor="text1"/>
                <w:szCs w:val="20"/>
              </w:rPr>
              <w:t xml:space="preserve">:  </w:t>
            </w:r>
          </w:p>
          <w:p w14:paraId="19C36C2E" w14:textId="77777777" w:rsidR="00536B2A" w:rsidRPr="00BA429D" w:rsidRDefault="00BA429D" w:rsidP="00BE01D0">
            <w:pPr>
              <w:rPr>
                <w:rFonts w:ascii="Calibri Light" w:hAnsi="Calibri Light" w:cs="Arial"/>
                <w:sz w:val="20"/>
                <w:szCs w:val="20"/>
              </w:rPr>
            </w:pPr>
            <w:r w:rsidRPr="00BA429D">
              <w:rPr>
                <w:rFonts w:ascii="Calibri Light" w:hAnsi="Calibri Light" w:cs="Arial"/>
                <w:sz w:val="20"/>
                <w:szCs w:val="20"/>
              </w:rPr>
              <w:t>UTMB ended the month of December with a $3.2 million loss. This loss was $1.2 million greater than budgeted for the month. Overall, UTMB continues to track a favorable $0.7 million to expected results for the fiscal year. We are currently working closely with the insurance company on our business interruption claim to determine the lost revenue and additional operating expenses associated with the John Sealy Hospital fire on Jan. 4. Your continued hard work and efforts to manage resources wisely will help UTMB meet our financial goals and ensure the long-term success of our mission.</w:t>
            </w:r>
          </w:p>
          <w:p w14:paraId="7919E9D6" w14:textId="77777777" w:rsidR="00BA429D" w:rsidRPr="00536B2A" w:rsidRDefault="00BA429D" w:rsidP="00BE01D0">
            <w:pPr>
              <w:rPr>
                <w:rFonts w:ascii="Calibri Light" w:hAnsi="Calibri Light" w:cs="Arial"/>
                <w:sz w:val="20"/>
                <w:szCs w:val="20"/>
              </w:rPr>
            </w:pPr>
          </w:p>
          <w:p w14:paraId="722CC1BB" w14:textId="77777777" w:rsidR="00BE01D0" w:rsidRPr="005D163A" w:rsidRDefault="00BA429D"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Feedback requested—Fire response and recovery</w:t>
            </w:r>
          </w:p>
          <w:p w14:paraId="3A11210A" w14:textId="77777777" w:rsidR="00BA429D" w:rsidRDefault="00BA429D" w:rsidP="005D27C3">
            <w:pPr>
              <w:rPr>
                <w:rFonts w:ascii="Calibri Light" w:hAnsi="Calibri Light" w:cs="Arial"/>
                <w:sz w:val="20"/>
                <w:szCs w:val="20"/>
              </w:rPr>
            </w:pPr>
            <w:r w:rsidRPr="00BA429D">
              <w:rPr>
                <w:rFonts w:ascii="Calibri Light" w:hAnsi="Calibri Light" w:cs="Arial"/>
                <w:sz w:val="20"/>
                <w:szCs w:val="20"/>
              </w:rPr>
              <w:t>While the events of the fire on Jan. 4 are still fresh in your memory, please reply with top-of-mind recommendations/feedback that will help Health System leadership and the Incident Command Center better prepare for emergencies in the future. All comments or questions are welcome. Although your name and email are not required, providing them will assist leadership in following up with you should we have additional questions or need clarification about your feedback. Please visit</w:t>
            </w:r>
            <w:r>
              <w:rPr>
                <w:rFonts w:ascii="Calibri Light" w:hAnsi="Calibri Light" w:cs="Arial"/>
                <w:sz w:val="20"/>
                <w:szCs w:val="20"/>
              </w:rPr>
              <w:t xml:space="preserve"> </w:t>
            </w:r>
            <w:hyperlink r:id="rId13" w:history="1">
              <w:r w:rsidR="00DF616F" w:rsidRPr="003C153E">
                <w:rPr>
                  <w:rStyle w:val="Hyperlink"/>
                  <w:rFonts w:ascii="Calibri Light" w:hAnsi="Calibri Light" w:cs="Calibri"/>
                  <w:color w:val="FF0000"/>
                  <w:sz w:val="20"/>
                  <w:szCs w:val="20"/>
                  <w:u w:color="0B4CB4"/>
                </w:rPr>
                <w:t>https://intranet.utmb.edu/healthsystem/submissions.asp</w:t>
              </w:r>
            </w:hyperlink>
            <w:r w:rsidRPr="00DF616F">
              <w:rPr>
                <w:rFonts w:ascii="Calibri Light" w:hAnsi="Calibri Light" w:cs="Arial"/>
                <w:color w:val="FF0000"/>
                <w:sz w:val="20"/>
                <w:szCs w:val="20"/>
              </w:rPr>
              <w:t> </w:t>
            </w:r>
            <w:r w:rsidRPr="00BA429D">
              <w:rPr>
                <w:rFonts w:ascii="Calibri Light" w:hAnsi="Calibri Light" w:cs="Arial"/>
                <w:sz w:val="20"/>
                <w:szCs w:val="20"/>
              </w:rPr>
              <w:t xml:space="preserve">to enter your response. </w:t>
            </w:r>
            <w:r w:rsidR="005C6EEC">
              <w:rPr>
                <w:rFonts w:ascii="Calibri Light" w:hAnsi="Calibri Light" w:cs="Arial"/>
                <w:sz w:val="20"/>
                <w:szCs w:val="20"/>
              </w:rPr>
              <w:t>Feedback topics might include, but are not limited to</w:t>
            </w:r>
            <w:r>
              <w:rPr>
                <w:rFonts w:ascii="Calibri Light" w:hAnsi="Calibri Light" w:cs="Arial"/>
                <w:sz w:val="20"/>
                <w:szCs w:val="20"/>
              </w:rPr>
              <w:t>:</w:t>
            </w:r>
          </w:p>
          <w:p w14:paraId="3E2D4B15" w14:textId="77777777" w:rsidR="00BA429D" w:rsidRPr="00BA429D" w:rsidRDefault="005C6EEC" w:rsidP="00BA429D">
            <w:pPr>
              <w:pStyle w:val="ListParagraph"/>
              <w:numPr>
                <w:ilvl w:val="0"/>
                <w:numId w:val="39"/>
              </w:numPr>
              <w:rPr>
                <w:rFonts w:ascii="Calibri Light" w:hAnsi="Calibri Light"/>
                <w:sz w:val="20"/>
                <w:szCs w:val="20"/>
              </w:rPr>
            </w:pPr>
            <w:r>
              <w:rPr>
                <w:rFonts w:ascii="Calibri Light" w:hAnsi="Calibri Light"/>
                <w:sz w:val="20"/>
                <w:szCs w:val="20"/>
              </w:rPr>
              <w:t>E</w:t>
            </w:r>
            <w:r w:rsidR="00BA429D" w:rsidRPr="00BA429D">
              <w:rPr>
                <w:rFonts w:ascii="Calibri Light" w:hAnsi="Calibri Light"/>
                <w:sz w:val="20"/>
                <w:szCs w:val="20"/>
              </w:rPr>
              <w:t>vacuation</w:t>
            </w:r>
          </w:p>
          <w:p w14:paraId="6AA64549" w14:textId="77777777" w:rsidR="00BA429D" w:rsidRPr="00BA429D" w:rsidRDefault="005C6EEC" w:rsidP="00BA429D">
            <w:pPr>
              <w:pStyle w:val="ListParagraph"/>
              <w:numPr>
                <w:ilvl w:val="0"/>
                <w:numId w:val="39"/>
              </w:numPr>
              <w:rPr>
                <w:rFonts w:ascii="Calibri Light" w:hAnsi="Calibri Light"/>
                <w:sz w:val="20"/>
                <w:szCs w:val="20"/>
              </w:rPr>
            </w:pPr>
            <w:r>
              <w:rPr>
                <w:rFonts w:ascii="Calibri Light" w:hAnsi="Calibri Light"/>
                <w:sz w:val="20"/>
                <w:szCs w:val="20"/>
              </w:rPr>
              <w:t>S</w:t>
            </w:r>
            <w:r w:rsidR="00BA429D" w:rsidRPr="00BA429D">
              <w:rPr>
                <w:rFonts w:ascii="Calibri Light" w:hAnsi="Calibri Light"/>
                <w:sz w:val="20"/>
                <w:szCs w:val="20"/>
              </w:rPr>
              <w:t>afety and security (during and after evacuation)</w:t>
            </w:r>
          </w:p>
          <w:p w14:paraId="07BCE780" w14:textId="77777777" w:rsidR="005C6EEC" w:rsidRDefault="005C6EEC" w:rsidP="00BA429D">
            <w:pPr>
              <w:pStyle w:val="ListParagraph"/>
              <w:numPr>
                <w:ilvl w:val="0"/>
                <w:numId w:val="39"/>
              </w:numPr>
              <w:rPr>
                <w:rFonts w:ascii="Calibri Light" w:hAnsi="Calibri Light"/>
                <w:sz w:val="20"/>
                <w:szCs w:val="20"/>
              </w:rPr>
            </w:pPr>
            <w:r>
              <w:rPr>
                <w:rFonts w:ascii="Calibri Light" w:hAnsi="Calibri Light"/>
                <w:sz w:val="20"/>
                <w:szCs w:val="20"/>
              </w:rPr>
              <w:t>Communications</w:t>
            </w:r>
          </w:p>
          <w:p w14:paraId="7509D524" w14:textId="77777777" w:rsidR="00BA429D" w:rsidRPr="00BA429D" w:rsidRDefault="005C6EEC" w:rsidP="00BA429D">
            <w:pPr>
              <w:pStyle w:val="ListParagraph"/>
              <w:numPr>
                <w:ilvl w:val="0"/>
                <w:numId w:val="39"/>
              </w:numPr>
              <w:rPr>
                <w:rFonts w:ascii="Calibri Light" w:hAnsi="Calibri Light"/>
                <w:sz w:val="20"/>
                <w:szCs w:val="20"/>
              </w:rPr>
            </w:pPr>
            <w:r>
              <w:rPr>
                <w:rFonts w:ascii="Calibri Light" w:hAnsi="Calibri Light"/>
                <w:sz w:val="20"/>
                <w:szCs w:val="20"/>
              </w:rPr>
              <w:t xml:space="preserve">Resources </w:t>
            </w:r>
            <w:r w:rsidR="00BA429D" w:rsidRPr="00BA429D">
              <w:rPr>
                <w:rFonts w:ascii="Calibri Light" w:hAnsi="Calibri Light"/>
                <w:sz w:val="20"/>
                <w:szCs w:val="20"/>
              </w:rPr>
              <w:t>(e.g., supplies, personnel, other assets)</w:t>
            </w:r>
          </w:p>
          <w:p w14:paraId="1542B666" w14:textId="77777777" w:rsidR="00BA429D" w:rsidRPr="00BA429D" w:rsidRDefault="005C6EEC" w:rsidP="00BA429D">
            <w:pPr>
              <w:pStyle w:val="ListParagraph"/>
              <w:numPr>
                <w:ilvl w:val="0"/>
                <w:numId w:val="39"/>
              </w:numPr>
              <w:rPr>
                <w:rFonts w:ascii="Calibri Light" w:hAnsi="Calibri Light"/>
                <w:sz w:val="20"/>
                <w:szCs w:val="20"/>
              </w:rPr>
            </w:pPr>
            <w:r>
              <w:rPr>
                <w:rFonts w:ascii="Calibri Light" w:hAnsi="Calibri Light"/>
                <w:sz w:val="20"/>
                <w:szCs w:val="20"/>
              </w:rPr>
              <w:t>S</w:t>
            </w:r>
            <w:r w:rsidR="00BA429D" w:rsidRPr="00BA429D">
              <w:rPr>
                <w:rFonts w:ascii="Calibri Light" w:hAnsi="Calibri Light"/>
                <w:sz w:val="20"/>
                <w:szCs w:val="20"/>
              </w:rPr>
              <w:t>taff responsibilities</w:t>
            </w:r>
          </w:p>
          <w:p w14:paraId="3B5C2552" w14:textId="77777777" w:rsidR="00BA429D" w:rsidRPr="00BA429D" w:rsidRDefault="005C6EEC" w:rsidP="00BA429D">
            <w:pPr>
              <w:pStyle w:val="ListParagraph"/>
              <w:numPr>
                <w:ilvl w:val="0"/>
                <w:numId w:val="39"/>
              </w:numPr>
              <w:rPr>
                <w:rFonts w:ascii="Calibri Light" w:hAnsi="Calibri Light"/>
                <w:sz w:val="20"/>
                <w:szCs w:val="20"/>
              </w:rPr>
            </w:pPr>
            <w:r>
              <w:rPr>
                <w:rFonts w:ascii="Calibri Light" w:hAnsi="Calibri Light"/>
                <w:sz w:val="20"/>
                <w:szCs w:val="20"/>
              </w:rPr>
              <w:t>U</w:t>
            </w:r>
            <w:r w:rsidR="00BA429D" w:rsidRPr="00BA429D">
              <w:rPr>
                <w:rFonts w:ascii="Calibri Light" w:hAnsi="Calibri Light"/>
                <w:sz w:val="20"/>
                <w:szCs w:val="20"/>
              </w:rPr>
              <w:t>tilities management</w:t>
            </w:r>
          </w:p>
        </w:tc>
      </w:tr>
      <w:tr w:rsidR="009C2829" w14:paraId="3F12077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6BCF59E9"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0CB91D7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4ABD4DE"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2B4191E0" wp14:editId="0D860A5B">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6A47FF93" wp14:editId="6724A548">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03E5B72B" wp14:editId="1EB09157">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6C46A3A" wp14:editId="682C390A">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97F977D"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435C5"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26013A6D" w14:textId="77777777" w:rsidTr="00B57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2"/>
        </w:trPr>
        <w:tc>
          <w:tcPr>
            <w:tcW w:w="5130" w:type="dxa"/>
            <w:gridSpan w:val="3"/>
            <w:vMerge w:val="restart"/>
            <w:tcBorders>
              <w:top w:val="single" w:sz="8" w:space="0" w:color="auto"/>
              <w:left w:val="single" w:sz="8" w:space="0" w:color="auto"/>
              <w:right w:val="single" w:sz="4" w:space="0" w:color="auto"/>
            </w:tcBorders>
          </w:tcPr>
          <w:p w14:paraId="5EE376D7" w14:textId="77777777" w:rsidR="00D12C2F" w:rsidRDefault="00D12C2F" w:rsidP="00D12C2F">
            <w:pPr>
              <w:rPr>
                <w:rFonts w:asciiTheme="majorHAnsi" w:eastAsia="Times New Roman" w:hAnsiTheme="majorHAnsi" w:cs="Arial"/>
                <w:b/>
                <w:color w:val="000000" w:themeColor="text1"/>
                <w:szCs w:val="20"/>
              </w:rPr>
            </w:pPr>
          </w:p>
          <w:p w14:paraId="57530D8A"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283B5581" w14:textId="77777777" w:rsidR="00D12C2F" w:rsidRPr="005D163A" w:rsidRDefault="00BA429D"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Lunch &amp; Learn</w:t>
            </w:r>
            <w:r w:rsidR="00D12C2F" w:rsidRPr="005D163A">
              <w:rPr>
                <w:rFonts w:asciiTheme="majorHAnsi" w:eastAsia="Times New Roman" w:hAnsiTheme="majorHAnsi" w:cs="Arial"/>
                <w:b/>
                <w:color w:val="000000" w:themeColor="text1"/>
                <w:szCs w:val="20"/>
              </w:rPr>
              <w:t xml:space="preserve">:  </w:t>
            </w:r>
          </w:p>
          <w:p w14:paraId="074BFEB3" w14:textId="77777777" w:rsidR="004C3BE1" w:rsidRPr="00BA429D" w:rsidRDefault="00BA429D" w:rsidP="00A83199">
            <w:pPr>
              <w:rPr>
                <w:rFonts w:ascii="Calibri Light" w:hAnsi="Calibri Light" w:cs="Arial"/>
                <w:sz w:val="20"/>
                <w:szCs w:val="20"/>
              </w:rPr>
            </w:pPr>
            <w:r w:rsidRPr="00BA429D">
              <w:rPr>
                <w:rFonts w:ascii="Calibri Light" w:hAnsi="Calibri Light" w:cs="Arial"/>
                <w:sz w:val="20"/>
                <w:szCs w:val="20"/>
              </w:rPr>
              <w:t xml:space="preserve">The next Best Care Lunch &amp; Learn will be held Jan. 25 in Levin Hall Dining Room. The topic is “Clinical Documentation Improvement and Reducing UTMB’s Mortality Rate” with Dr. </w:t>
            </w:r>
            <w:proofErr w:type="spellStart"/>
            <w:r w:rsidRPr="00BA429D">
              <w:rPr>
                <w:rFonts w:ascii="Calibri Light" w:hAnsi="Calibri Light" w:cs="Arial"/>
                <w:sz w:val="20"/>
                <w:szCs w:val="20"/>
              </w:rPr>
              <w:t>Gulshan</w:t>
            </w:r>
            <w:proofErr w:type="spellEnd"/>
            <w:r w:rsidRPr="00BA429D">
              <w:rPr>
                <w:rFonts w:ascii="Calibri Light" w:hAnsi="Calibri Light" w:cs="Arial"/>
                <w:sz w:val="20"/>
                <w:szCs w:val="20"/>
              </w:rPr>
              <w:t xml:space="preserve"> Sharma, vice president and chief medical and clinical innovation officer. You can also watch a video about clinical documentation tips featuring UTMB’s faculty on the Best Care website. Information on both, as well as materials from previous sessions, can be found at </w:t>
            </w:r>
            <w:hyperlink r:id="rId18" w:history="1">
              <w:r w:rsidRPr="00A972A5">
                <w:rPr>
                  <w:rFonts w:ascii="Calibri Light" w:hAnsi="Calibri Light" w:cs="Arial"/>
                  <w:color w:val="FF0000"/>
                  <w:sz w:val="20"/>
                  <w:szCs w:val="20"/>
                  <w:u w:val="single" w:color="0950D0"/>
                </w:rPr>
                <w:t>http://intranet.utmb.edu/best-care</w:t>
              </w:r>
            </w:hyperlink>
            <w:r w:rsidR="00B26D15">
              <w:rPr>
                <w:rFonts w:ascii="Calibri Light" w:hAnsi="Calibri Light" w:cs="Arial"/>
                <w:sz w:val="20"/>
                <w:szCs w:val="20"/>
              </w:rPr>
              <w:t>.</w:t>
            </w:r>
          </w:p>
          <w:p w14:paraId="0976BB6C" w14:textId="77777777" w:rsidR="00BA429D" w:rsidRDefault="00BA429D" w:rsidP="00A83199">
            <w:pPr>
              <w:rPr>
                <w:rFonts w:ascii="Calibri Light" w:hAnsi="Calibri Light" w:cs="Arial"/>
                <w:sz w:val="20"/>
                <w:szCs w:val="20"/>
              </w:rPr>
            </w:pPr>
          </w:p>
          <w:p w14:paraId="2B00E006" w14:textId="77777777" w:rsidR="004C3BE1" w:rsidRPr="005D163A" w:rsidRDefault="00BA429D"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Tracking phase of the FY17 annual evaluation process underway</w:t>
            </w:r>
            <w:r w:rsidR="004C3BE1" w:rsidRPr="005D163A">
              <w:rPr>
                <w:rFonts w:asciiTheme="majorHAnsi" w:eastAsia="Times New Roman" w:hAnsiTheme="majorHAnsi" w:cs="Arial"/>
                <w:b/>
                <w:color w:val="000000" w:themeColor="text1"/>
                <w:szCs w:val="20"/>
              </w:rPr>
              <w:t xml:space="preserve">:  </w:t>
            </w:r>
          </w:p>
          <w:p w14:paraId="5B9F0C16" w14:textId="77777777" w:rsidR="004C3BE1" w:rsidRPr="00BA429D" w:rsidRDefault="00BA429D" w:rsidP="00A83199">
            <w:pPr>
              <w:rPr>
                <w:rFonts w:ascii="Calibri Light" w:hAnsi="Calibri Light" w:cs="Arial"/>
                <w:sz w:val="20"/>
                <w:szCs w:val="20"/>
              </w:rPr>
            </w:pPr>
            <w:r w:rsidRPr="00BA429D">
              <w:rPr>
                <w:rFonts w:ascii="Calibri Light" w:hAnsi="Calibri Light" w:cs="Arial"/>
                <w:sz w:val="20"/>
                <w:szCs w:val="20"/>
              </w:rPr>
              <w:t xml:space="preserve">The annual evaluation process enables employees to focus on actions and behaviors that have a direct impact on departmental and institutional goals, and this time should be used to track your progress against established performance criteria and document achievements in the </w:t>
            </w:r>
            <w:proofErr w:type="spellStart"/>
            <w:r w:rsidRPr="00BA429D">
              <w:rPr>
                <w:rFonts w:ascii="Calibri Light" w:hAnsi="Calibri Light" w:cs="Arial"/>
                <w:sz w:val="20"/>
                <w:szCs w:val="20"/>
              </w:rPr>
              <w:t>ePerformance</w:t>
            </w:r>
            <w:proofErr w:type="spellEnd"/>
            <w:r w:rsidRPr="00BA429D">
              <w:rPr>
                <w:rFonts w:ascii="Calibri Light" w:hAnsi="Calibri Light" w:cs="Arial"/>
                <w:sz w:val="20"/>
                <w:szCs w:val="20"/>
              </w:rPr>
              <w:t xml:space="preserve"> system. The next milestone in the tracking phase is the completion of at least one activity related to your My Road Ahead development plan by Feb. 28. (</w:t>
            </w:r>
            <w:r w:rsidRPr="00BA429D">
              <w:rPr>
                <w:rFonts w:ascii="Calibri Light" w:hAnsi="Calibri Light" w:cs="Arial"/>
                <w:color w:val="FB0207"/>
                <w:sz w:val="20"/>
                <w:szCs w:val="20"/>
              </w:rPr>
              <w:t>Note for Academic Enterprise</w:t>
            </w:r>
            <w:r w:rsidRPr="00BA429D">
              <w:rPr>
                <w:rFonts w:ascii="Calibri Light" w:hAnsi="Calibri Light" w:cs="Arial"/>
                <w:sz w:val="20"/>
                <w:szCs w:val="20"/>
              </w:rPr>
              <w:t>: Employees should complete all activities associated with their My Road Ahead development plan by Aug. 31.) See </w:t>
            </w:r>
            <w:hyperlink r:id="rId19" w:history="1">
              <w:r w:rsidRPr="00BA429D">
                <w:rPr>
                  <w:rFonts w:ascii="Calibri Light" w:hAnsi="Calibri Light" w:cs="Arial"/>
                  <w:color w:val="E20D2C"/>
                  <w:sz w:val="20"/>
                  <w:szCs w:val="20"/>
                  <w:u w:val="single" w:color="E20D2C"/>
                </w:rPr>
                <w:t>https://hr.utmb.edu/relations/performance/</w:t>
              </w:r>
            </w:hyperlink>
            <w:r w:rsidRPr="00BA429D">
              <w:rPr>
                <w:rFonts w:ascii="Calibri Light" w:hAnsi="Calibri Light" w:cs="Arial"/>
                <w:sz w:val="20"/>
                <w:szCs w:val="20"/>
              </w:rPr>
              <w:t> for more annual evaluation information.</w:t>
            </w:r>
          </w:p>
          <w:p w14:paraId="7F9F93E3" w14:textId="77777777" w:rsidR="00BA429D" w:rsidRDefault="00BA429D" w:rsidP="00A83199">
            <w:pPr>
              <w:rPr>
                <w:rFonts w:ascii="Calibri Light" w:hAnsi="Calibri Light" w:cs="Arial"/>
                <w:sz w:val="20"/>
                <w:szCs w:val="20"/>
              </w:rPr>
            </w:pPr>
          </w:p>
          <w:p w14:paraId="27F95AE3" w14:textId="77777777" w:rsidR="004C3BE1" w:rsidRPr="005D163A" w:rsidRDefault="00BA429D"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Improve your skills and get ahead with the UT System Learning Zone</w:t>
            </w:r>
            <w:r w:rsidR="004C3BE1" w:rsidRPr="005D163A">
              <w:rPr>
                <w:rFonts w:asciiTheme="majorHAnsi" w:eastAsia="Times New Roman" w:hAnsiTheme="majorHAnsi" w:cs="Arial"/>
                <w:b/>
                <w:color w:val="000000" w:themeColor="text1"/>
                <w:szCs w:val="20"/>
              </w:rPr>
              <w:t xml:space="preserve">:  </w:t>
            </w:r>
          </w:p>
          <w:p w14:paraId="24206DD7" w14:textId="77777777" w:rsidR="004C3BE1" w:rsidRPr="00BA429D" w:rsidRDefault="00BA429D" w:rsidP="00A83199">
            <w:pPr>
              <w:rPr>
                <w:rFonts w:ascii="Calibri Light" w:hAnsi="Calibri Light" w:cs="Arial"/>
                <w:sz w:val="20"/>
                <w:szCs w:val="20"/>
              </w:rPr>
            </w:pPr>
            <w:r w:rsidRPr="00BA429D">
              <w:rPr>
                <w:rFonts w:ascii="Calibri Light" w:hAnsi="Calibri Light" w:cs="Arial"/>
                <w:sz w:val="20"/>
                <w:szCs w:val="20"/>
              </w:rPr>
              <w:t>The Learning Zone offers unlimited access to thousands of free books, training courses, videos and other learning assets—right from your computer or mobile device.</w:t>
            </w:r>
            <w:r w:rsidRPr="00BA429D">
              <w:rPr>
                <w:rFonts w:ascii="Calibri Light" w:hAnsi="Calibri Light" w:cs="Arial"/>
                <w:color w:val="18376A"/>
                <w:sz w:val="20"/>
                <w:szCs w:val="20"/>
              </w:rPr>
              <w:t> </w:t>
            </w:r>
            <w:r w:rsidRPr="00BA429D">
              <w:rPr>
                <w:rFonts w:ascii="Calibri Light" w:hAnsi="Calibri Light" w:cs="Arial"/>
                <w:sz w:val="20"/>
                <w:szCs w:val="20"/>
              </w:rPr>
              <w:t>Go to </w:t>
            </w:r>
            <w:hyperlink r:id="rId20" w:history="1">
              <w:r w:rsidRPr="00BA429D">
                <w:rPr>
                  <w:rFonts w:ascii="Calibri Light" w:hAnsi="Calibri Light" w:cs="Arial"/>
                  <w:color w:val="E20D2C"/>
                  <w:sz w:val="20"/>
                  <w:szCs w:val="20"/>
                  <w:u w:val="single" w:color="E20D2C"/>
                </w:rPr>
                <w:t>https://utsystem.skillport.com</w:t>
              </w:r>
            </w:hyperlink>
            <w:r w:rsidRPr="00BA429D">
              <w:rPr>
                <w:rFonts w:ascii="Calibri Light" w:hAnsi="Calibri Light" w:cs="Arial"/>
                <w:sz w:val="20"/>
                <w:szCs w:val="20"/>
              </w:rPr>
              <w:t> and log in with your UTMB username and password to view the library of available topics. For more information about this professional development tool, see </w:t>
            </w:r>
            <w:hyperlink r:id="rId21" w:history="1">
              <w:r w:rsidRPr="00BA429D">
                <w:rPr>
                  <w:rFonts w:ascii="Calibri Light" w:hAnsi="Calibri Light" w:cs="Arial"/>
                  <w:color w:val="E20D2C"/>
                  <w:sz w:val="20"/>
                  <w:szCs w:val="20"/>
                  <w:u w:val="single" w:color="E20D2C"/>
                </w:rPr>
                <w:t>https://hr.utmb.edu/tod/learning/</w:t>
              </w:r>
            </w:hyperlink>
            <w:r w:rsidRPr="00BA429D">
              <w:rPr>
                <w:rFonts w:ascii="Calibri Light" w:hAnsi="Calibri Light" w:cs="Arial"/>
                <w:sz w:val="20"/>
                <w:szCs w:val="20"/>
              </w:rPr>
              <w:t>.</w:t>
            </w:r>
          </w:p>
          <w:p w14:paraId="0B228D80" w14:textId="77777777" w:rsidR="00BA429D" w:rsidRDefault="00BA429D" w:rsidP="00A83199">
            <w:pPr>
              <w:rPr>
                <w:rFonts w:ascii="Calibri Light" w:hAnsi="Calibri Light" w:cs="Arial"/>
                <w:sz w:val="20"/>
                <w:szCs w:val="20"/>
              </w:rPr>
            </w:pPr>
          </w:p>
          <w:p w14:paraId="479B2A69" w14:textId="77777777" w:rsidR="004C3BE1" w:rsidRPr="005D163A" w:rsidRDefault="00BA429D"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Have you seen or heard the new UTMB Wonders commercials</w:t>
            </w:r>
            <w:proofErr w:type="gramStart"/>
            <w:r>
              <w:rPr>
                <w:rFonts w:asciiTheme="majorHAnsi" w:eastAsia="Times New Roman" w:hAnsiTheme="majorHAnsi" w:cs="Arial"/>
                <w:b/>
                <w:color w:val="000000" w:themeColor="text1"/>
                <w:szCs w:val="20"/>
              </w:rPr>
              <w:t>?</w:t>
            </w:r>
            <w:r w:rsidR="004C3BE1" w:rsidRPr="005D163A">
              <w:rPr>
                <w:rFonts w:asciiTheme="majorHAnsi" w:eastAsia="Times New Roman" w:hAnsiTheme="majorHAnsi" w:cs="Arial"/>
                <w:b/>
                <w:color w:val="000000" w:themeColor="text1"/>
                <w:szCs w:val="20"/>
              </w:rPr>
              <w:t>:</w:t>
            </w:r>
            <w:proofErr w:type="gramEnd"/>
            <w:r w:rsidR="004C3BE1" w:rsidRPr="005D163A">
              <w:rPr>
                <w:rFonts w:asciiTheme="majorHAnsi" w:eastAsia="Times New Roman" w:hAnsiTheme="majorHAnsi" w:cs="Arial"/>
                <w:b/>
                <w:color w:val="000000" w:themeColor="text1"/>
                <w:szCs w:val="20"/>
              </w:rPr>
              <w:t xml:space="preserve">  </w:t>
            </w:r>
          </w:p>
          <w:p w14:paraId="26B6DFDA" w14:textId="77777777" w:rsidR="00E35816" w:rsidRPr="00BA429D" w:rsidRDefault="00BA429D" w:rsidP="00BA429D">
            <w:pPr>
              <w:widowControl w:val="0"/>
              <w:autoSpaceDE w:val="0"/>
              <w:autoSpaceDN w:val="0"/>
              <w:adjustRightInd w:val="0"/>
              <w:rPr>
                <w:rFonts w:ascii="Calibri Light" w:hAnsi="Calibri Light" w:cs="Helvetica"/>
                <w:sz w:val="20"/>
                <w:szCs w:val="20"/>
              </w:rPr>
            </w:pPr>
            <w:r w:rsidRPr="00BA429D">
              <w:rPr>
                <w:rFonts w:ascii="Calibri Light" w:hAnsi="Calibri Light" w:cs="Arial"/>
                <w:sz w:val="20"/>
                <w:szCs w:val="20"/>
              </w:rPr>
              <w:t>Just a reminder that the new UTMB Wonders advertising campaign was launched Jan. 16, featuring broadcast TV and radio commercials and digital advertising. To see the 15-second advertisements (including a CMC-accessible link to videos), please visit </w:t>
            </w:r>
            <w:hyperlink r:id="rId22" w:history="1">
              <w:r w:rsidRPr="00A972A5">
                <w:rPr>
                  <w:rFonts w:ascii="Calibri Light" w:hAnsi="Calibri Light" w:cs="Arial"/>
                  <w:color w:val="FF0000"/>
                  <w:sz w:val="20"/>
                  <w:szCs w:val="20"/>
                  <w:u w:val="single" w:color="0950D0"/>
                </w:rPr>
                <w:t>www.utmbwonders.com/utmb-preview</w:t>
              </w:r>
            </w:hyperlink>
            <w:r w:rsidRPr="00BA429D">
              <w:rPr>
                <w:rFonts w:ascii="Calibri Light" w:hAnsi="Calibri Light" w:cs="Arial"/>
                <w:sz w:val="20"/>
                <w:szCs w:val="20"/>
              </w:rPr>
              <w:t>.</w:t>
            </w:r>
          </w:p>
        </w:tc>
        <w:tc>
          <w:tcPr>
            <w:tcW w:w="5940" w:type="dxa"/>
            <w:gridSpan w:val="2"/>
            <w:tcBorders>
              <w:left w:val="single" w:sz="4" w:space="0" w:color="auto"/>
              <w:right w:val="single" w:sz="8" w:space="0" w:color="auto"/>
            </w:tcBorders>
            <w:shd w:val="clear" w:color="auto" w:fill="FFFFFF" w:themeFill="background1"/>
          </w:tcPr>
          <w:p w14:paraId="50B682A4" w14:textId="77777777" w:rsidR="00B45EDC" w:rsidRDefault="00B45EDC" w:rsidP="00B45EDC">
            <w:pPr>
              <w:rPr>
                <w:rFonts w:ascii="Calibri Light" w:hAnsi="Calibri Light" w:cs="Arial"/>
                <w:sz w:val="20"/>
                <w:szCs w:val="20"/>
              </w:rPr>
            </w:pPr>
          </w:p>
          <w:p w14:paraId="04BE9C42" w14:textId="77777777" w:rsidR="00B57173" w:rsidRPr="00BA429D" w:rsidRDefault="00BA429D" w:rsidP="00BA429D">
            <w:pPr>
              <w:spacing w:before="120"/>
              <w:rPr>
                <w:rFonts w:ascii="Calibri Light" w:hAnsi="Calibri Light" w:cs="Arial"/>
                <w:bCs/>
                <w:color w:val="000000"/>
                <w:sz w:val="20"/>
                <w:szCs w:val="20"/>
              </w:rPr>
            </w:pPr>
            <w:r>
              <w:rPr>
                <w:noProof/>
              </w:rPr>
              <w:drawing>
                <wp:inline distT="0" distB="0" distL="0" distR="0" wp14:anchorId="03952C26" wp14:editId="0CCB566B">
                  <wp:extent cx="156216" cy="17513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397" cy="175333"/>
                          </a:xfrm>
                          <a:prstGeom prst="rect">
                            <a:avLst/>
                          </a:prstGeom>
                          <a:noFill/>
                          <a:ln>
                            <a:noFill/>
                          </a:ln>
                        </pic:spPr>
                      </pic:pic>
                    </a:graphicData>
                  </a:graphic>
                </wp:inline>
              </w:drawing>
            </w:r>
            <w:r w:rsidR="004C3BE1">
              <w:t xml:space="preserve"> </w:t>
            </w:r>
            <w:r w:rsidR="004C3BE1">
              <w:rPr>
                <w:rFonts w:asciiTheme="majorHAnsi" w:hAnsiTheme="majorHAnsi" w:cs="Arial"/>
                <w:b/>
                <w:bCs/>
                <w:spacing w:val="-2"/>
                <w:szCs w:val="20"/>
              </w:rPr>
              <w:t xml:space="preserve"> </w:t>
            </w:r>
            <w:r w:rsidRPr="00BA429D">
              <w:rPr>
                <w:rFonts w:asciiTheme="majorHAnsi" w:hAnsiTheme="majorHAnsi"/>
                <w:b/>
                <w:color w:val="808080" w:themeColor="background1" w:themeShade="80"/>
              </w:rPr>
              <w:t>TAX FORMS</w:t>
            </w:r>
            <w:r w:rsidR="004C3BE1">
              <w:rPr>
                <w:rFonts w:ascii="Calibri Light" w:hAnsi="Calibri Light" w:cs="Arial"/>
                <w:bCs/>
                <w:color w:val="000000"/>
                <w:sz w:val="20"/>
                <w:szCs w:val="20"/>
              </w:rPr>
              <w:t xml:space="preserve"> </w:t>
            </w:r>
          </w:p>
          <w:p w14:paraId="1F7D38D1" w14:textId="77777777" w:rsidR="00B57173" w:rsidRDefault="00BA429D" w:rsidP="00B57173">
            <w:pPr>
              <w:spacing w:before="120"/>
              <w:rPr>
                <w:rFonts w:ascii="Calibri Light" w:hAnsi="Calibri Light" w:cs="Arial"/>
                <w:bCs/>
                <w:color w:val="000000"/>
                <w:sz w:val="20"/>
                <w:szCs w:val="20"/>
              </w:rPr>
            </w:pPr>
            <w:r>
              <w:rPr>
                <w:rFonts w:asciiTheme="majorHAnsi" w:hAnsiTheme="majorHAnsi"/>
                <w:b/>
              </w:rPr>
              <w:t>2016 1095-C form available</w:t>
            </w:r>
            <w:r w:rsidR="00B57173">
              <w:rPr>
                <w:rFonts w:asciiTheme="majorHAnsi" w:hAnsiTheme="majorHAnsi"/>
                <w:b/>
              </w:rPr>
              <w:t>:</w:t>
            </w:r>
            <w:r w:rsidR="00B57173">
              <w:rPr>
                <w:rFonts w:ascii="Calibri Light" w:hAnsi="Calibri Light" w:cs="Arial"/>
                <w:bCs/>
                <w:color w:val="000000"/>
                <w:sz w:val="20"/>
                <w:szCs w:val="20"/>
              </w:rPr>
              <w:t xml:space="preserve"> </w:t>
            </w:r>
          </w:p>
          <w:p w14:paraId="21F95D2E" w14:textId="77777777" w:rsidR="00BA429D" w:rsidRPr="00BA429D" w:rsidRDefault="00BA429D" w:rsidP="00BA429D">
            <w:pPr>
              <w:widowControl w:val="0"/>
              <w:autoSpaceDE w:val="0"/>
              <w:autoSpaceDN w:val="0"/>
              <w:adjustRightInd w:val="0"/>
              <w:rPr>
                <w:rFonts w:ascii="Calibri Light" w:hAnsi="Calibri Light" w:cs="Helvetica"/>
                <w:sz w:val="20"/>
                <w:szCs w:val="20"/>
              </w:rPr>
            </w:pPr>
            <w:r w:rsidRPr="00BA429D">
              <w:rPr>
                <w:rFonts w:ascii="Calibri Light" w:hAnsi="Calibri Light" w:cs="Arial"/>
                <w:sz w:val="20"/>
                <w:szCs w:val="20"/>
              </w:rPr>
              <w:t>Employees who signed up to receive an electronic copy of IRS Form 1095-C may now log in to </w:t>
            </w:r>
            <w:hyperlink r:id="rId24" w:history="1">
              <w:r w:rsidRPr="00BA429D">
                <w:rPr>
                  <w:rFonts w:ascii="Calibri Light" w:hAnsi="Calibri Light" w:cs="Arial"/>
                  <w:color w:val="E20D2C"/>
                  <w:sz w:val="20"/>
                  <w:szCs w:val="20"/>
                  <w:u w:val="single" w:color="E20D2C"/>
                </w:rPr>
                <w:t>www.MyTaxForm.com</w:t>
              </w:r>
            </w:hyperlink>
            <w:r w:rsidRPr="00BA429D">
              <w:rPr>
                <w:rFonts w:ascii="Calibri Light" w:hAnsi="Calibri Light" w:cs="Arial"/>
                <w:sz w:val="20"/>
                <w:szCs w:val="20"/>
              </w:rPr>
              <w:t> to download and print the form. This form contains information about your health care coverage that will be needed to complete your 2016 tax returns, and those who chose the digital format will have unlimited access to the form until Dec. 31. Any employee who did not consent to electronic delivery of the form will receive a paper copy through the U.S. mail at their mailing address. Please be advised </w:t>
            </w:r>
            <w:hyperlink r:id="rId25" w:history="1">
              <w:r w:rsidRPr="00BA429D">
                <w:rPr>
                  <w:rFonts w:ascii="Calibri Light" w:hAnsi="Calibri Light" w:cs="Arial"/>
                  <w:color w:val="813B5F"/>
                  <w:sz w:val="20"/>
                  <w:szCs w:val="20"/>
                  <w:u w:val="single" w:color="813B5F"/>
                </w:rPr>
                <w:t>MyTaxForm.com</w:t>
              </w:r>
            </w:hyperlink>
            <w:r w:rsidRPr="00BA429D">
              <w:rPr>
                <w:rFonts w:ascii="Calibri Light" w:hAnsi="Calibri Light" w:cs="Arial"/>
                <w:sz w:val="20"/>
                <w:szCs w:val="20"/>
              </w:rPr>
              <w:t> will reissue a lost or damaged form at no cost; however, a fee will be charged for each additional paper copy. Instructions for logging in and downloading the form are available </w:t>
            </w:r>
            <w:hyperlink r:id="rId26" w:history="1">
              <w:r w:rsidRPr="00BA429D">
                <w:rPr>
                  <w:rFonts w:ascii="Calibri Light" w:hAnsi="Calibri Light" w:cs="Arial"/>
                  <w:color w:val="E20D2C"/>
                  <w:sz w:val="20"/>
                  <w:szCs w:val="20"/>
                  <w:u w:val="single" w:color="E20D2C"/>
                </w:rPr>
                <w:t>online</w:t>
              </w:r>
            </w:hyperlink>
            <w:r w:rsidRPr="00BA429D">
              <w:rPr>
                <w:rFonts w:ascii="Calibri Light" w:hAnsi="Calibri Light" w:cs="Arial"/>
                <w:sz w:val="20"/>
                <w:szCs w:val="20"/>
              </w:rPr>
              <w:t>. Any questions about the form may be emailed to </w:t>
            </w:r>
            <w:hyperlink r:id="rId27" w:history="1">
              <w:r w:rsidRPr="00BA429D">
                <w:rPr>
                  <w:rFonts w:ascii="Calibri Light" w:hAnsi="Calibri Light" w:cs="Arial"/>
                  <w:color w:val="E20D2C"/>
                  <w:sz w:val="20"/>
                  <w:szCs w:val="20"/>
                  <w:u w:val="single" w:color="E20D2C"/>
                </w:rPr>
                <w:t>hrservic@utmb.edu</w:t>
              </w:r>
            </w:hyperlink>
            <w:r w:rsidRPr="00BA429D">
              <w:rPr>
                <w:rFonts w:ascii="Calibri Light" w:hAnsi="Calibri Light" w:cs="Arial"/>
                <w:sz w:val="20"/>
                <w:szCs w:val="20"/>
              </w:rPr>
              <w:t>.</w:t>
            </w:r>
          </w:p>
          <w:p w14:paraId="76786A7A" w14:textId="77777777" w:rsidR="00B57173" w:rsidRDefault="00B57173" w:rsidP="00D12C2F">
            <w:pPr>
              <w:rPr>
                <w:rFonts w:ascii="Calibri Light" w:hAnsi="Calibri Light" w:cs="Arial"/>
                <w:sz w:val="20"/>
                <w:szCs w:val="20"/>
              </w:rPr>
            </w:pPr>
          </w:p>
          <w:p w14:paraId="0499B014" w14:textId="77777777" w:rsidR="00B57173" w:rsidRDefault="00BA429D" w:rsidP="00B57173">
            <w:pPr>
              <w:spacing w:before="120"/>
              <w:rPr>
                <w:rFonts w:ascii="Calibri Light" w:hAnsi="Calibri Light" w:cs="Arial"/>
                <w:bCs/>
                <w:color w:val="000000"/>
                <w:sz w:val="20"/>
                <w:szCs w:val="20"/>
              </w:rPr>
            </w:pPr>
            <w:r>
              <w:rPr>
                <w:rFonts w:asciiTheme="majorHAnsi" w:hAnsiTheme="majorHAnsi"/>
                <w:b/>
              </w:rPr>
              <w:t>2016 eW-2 available</w:t>
            </w:r>
            <w:r w:rsidR="00B57173">
              <w:rPr>
                <w:rFonts w:asciiTheme="majorHAnsi" w:hAnsiTheme="majorHAnsi"/>
                <w:b/>
              </w:rPr>
              <w:t>:</w:t>
            </w:r>
            <w:r w:rsidR="00B57173">
              <w:rPr>
                <w:rFonts w:ascii="Calibri Light" w:hAnsi="Calibri Light" w:cs="Arial"/>
                <w:bCs/>
                <w:color w:val="000000"/>
                <w:sz w:val="20"/>
                <w:szCs w:val="20"/>
              </w:rPr>
              <w:t xml:space="preserve"> </w:t>
            </w:r>
          </w:p>
          <w:p w14:paraId="17049628" w14:textId="77777777" w:rsidR="00B57173" w:rsidRPr="00BA429D" w:rsidRDefault="00BA429D" w:rsidP="00B57173">
            <w:pPr>
              <w:rPr>
                <w:rFonts w:ascii="Calibri Light" w:hAnsi="Calibri Light"/>
                <w:sz w:val="20"/>
                <w:szCs w:val="20"/>
              </w:rPr>
            </w:pPr>
            <w:r w:rsidRPr="00BA429D">
              <w:rPr>
                <w:rFonts w:ascii="Calibri Light" w:hAnsi="Calibri Light" w:cs="Arial"/>
                <w:sz w:val="20"/>
                <w:szCs w:val="20"/>
              </w:rPr>
              <w:t>Employees who consented to receiving an electronic copy of their W-2 for 2016 may now view and print their form through </w:t>
            </w:r>
            <w:hyperlink r:id="rId28" w:history="1">
              <w:r w:rsidRPr="00A972A5">
                <w:rPr>
                  <w:rFonts w:ascii="Calibri Light" w:hAnsi="Calibri Light" w:cs="Arial"/>
                  <w:color w:val="FF0000"/>
                  <w:sz w:val="20"/>
                  <w:szCs w:val="20"/>
                  <w:u w:val="single" w:color="0950D0"/>
                </w:rPr>
                <w:t>Employee Self Service</w:t>
              </w:r>
            </w:hyperlink>
            <w:r w:rsidRPr="00BA429D">
              <w:rPr>
                <w:rFonts w:ascii="Calibri Light" w:hAnsi="Calibri Light" w:cs="Arial"/>
                <w:sz w:val="20"/>
                <w:szCs w:val="20"/>
              </w:rPr>
              <w:t>. The W-2 form is located under the Payroll and Compensation section, and you must be directly connected to a UTMB network to access the information. Any employee who did not sign up for electronic delivery of the form will receive a paper copy through the U.S. mail at their mailing address. For questions or assistance with the form, email </w:t>
            </w:r>
            <w:hyperlink r:id="rId29" w:history="1">
              <w:r w:rsidRPr="00A972A5">
                <w:rPr>
                  <w:rFonts w:ascii="Calibri Light" w:hAnsi="Calibri Light" w:cs="Arial"/>
                  <w:color w:val="FF0000"/>
                  <w:sz w:val="20"/>
                  <w:szCs w:val="20"/>
                  <w:u w:val="single" w:color="0950D0"/>
                </w:rPr>
                <w:t>payroll.services@utmb.edu</w:t>
              </w:r>
            </w:hyperlink>
            <w:r w:rsidRPr="00BA429D">
              <w:rPr>
                <w:rFonts w:ascii="Calibri Light" w:hAnsi="Calibri Light" w:cs="Arial"/>
                <w:sz w:val="20"/>
                <w:szCs w:val="20"/>
              </w:rPr>
              <w:t>.</w:t>
            </w:r>
          </w:p>
        </w:tc>
      </w:tr>
      <w:tr w:rsidR="00824F3C" w14:paraId="6C323E9E" w14:textId="77777777" w:rsidTr="00B57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0"/>
        </w:trPr>
        <w:tc>
          <w:tcPr>
            <w:tcW w:w="5130" w:type="dxa"/>
            <w:gridSpan w:val="3"/>
            <w:vMerge/>
            <w:tcBorders>
              <w:left w:val="single" w:sz="8" w:space="0" w:color="auto"/>
              <w:right w:val="single" w:sz="4" w:space="0" w:color="auto"/>
            </w:tcBorders>
          </w:tcPr>
          <w:p w14:paraId="182B1C6D"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8EE373F"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75CA47D2" w14:textId="77777777" w:rsidR="008B7918" w:rsidRPr="00BA429D" w:rsidRDefault="00BA429D" w:rsidP="00694829">
            <w:pPr>
              <w:rPr>
                <w:rFonts w:ascii="Calibri" w:hAnsi="Calibri"/>
                <w:sz w:val="20"/>
                <w:szCs w:val="20"/>
              </w:rPr>
            </w:pPr>
            <w:r w:rsidRPr="00BA429D">
              <w:rPr>
                <w:rFonts w:ascii="Calibri" w:hAnsi="Calibri" w:cs="Arial"/>
                <w:sz w:val="20"/>
                <w:szCs w:val="20"/>
              </w:rPr>
              <w:t>In FY16, UTMB’s Health System reco</w:t>
            </w:r>
            <w:r w:rsidR="00B26D15">
              <w:rPr>
                <w:rFonts w:ascii="Calibri" w:hAnsi="Calibri" w:cs="Arial"/>
                <w:sz w:val="20"/>
                <w:szCs w:val="20"/>
              </w:rPr>
              <w:t>rded 30,298 hospital discharges;</w:t>
            </w:r>
            <w:r w:rsidRPr="00BA429D">
              <w:rPr>
                <w:rFonts w:ascii="Calibri" w:hAnsi="Calibri" w:cs="Arial"/>
                <w:sz w:val="20"/>
                <w:szCs w:val="20"/>
              </w:rPr>
              <w:t xml:space="preserve"> </w:t>
            </w:r>
            <w:r w:rsidR="00B26D15">
              <w:rPr>
                <w:rFonts w:ascii="Calibri" w:hAnsi="Calibri" w:cs="Arial"/>
                <w:sz w:val="20"/>
                <w:szCs w:val="20"/>
              </w:rPr>
              <w:t>1,015,673 outpatient encounters;</w:t>
            </w:r>
            <w:r w:rsidRPr="00BA429D">
              <w:rPr>
                <w:rFonts w:ascii="Calibri" w:hAnsi="Calibri" w:cs="Arial"/>
                <w:sz w:val="20"/>
                <w:szCs w:val="20"/>
              </w:rPr>
              <w:t xml:space="preserve"> 66,209 emergency department visits</w:t>
            </w:r>
            <w:r w:rsidR="00B26D15">
              <w:rPr>
                <w:rFonts w:ascii="Calibri" w:hAnsi="Calibri" w:cs="Arial"/>
                <w:sz w:val="20"/>
                <w:szCs w:val="20"/>
              </w:rPr>
              <w:t>;</w:t>
            </w:r>
            <w:r w:rsidRPr="00BA429D">
              <w:rPr>
                <w:rFonts w:ascii="Calibri" w:hAnsi="Calibri" w:cs="Arial"/>
                <w:sz w:val="20"/>
                <w:szCs w:val="20"/>
              </w:rPr>
              <w:t xml:space="preserve"> and delivered 6,091 babies at its Galveston, League City and Angleton Danbury campuses and at its clinics located throughout Texas. You can find additional FY16 data on the recently updated Data Reference Card available online at </w:t>
            </w:r>
            <w:hyperlink r:id="rId30" w:history="1">
              <w:r w:rsidRPr="00A972A5">
                <w:rPr>
                  <w:rFonts w:ascii="Calibri" w:hAnsi="Calibri" w:cs="Arial"/>
                  <w:color w:val="FF0000"/>
                  <w:sz w:val="20"/>
                  <w:szCs w:val="20"/>
                  <w:u w:val="single" w:color="0950D0"/>
                </w:rPr>
                <w:t>utmb.edu/business</w:t>
              </w:r>
            </w:hyperlink>
            <w:r w:rsidRPr="00BA429D">
              <w:rPr>
                <w:rFonts w:ascii="Calibri" w:hAnsi="Calibri" w:cs="Arial"/>
                <w:sz w:val="20"/>
                <w:szCs w:val="20"/>
              </w:rPr>
              <w:t>.</w:t>
            </w:r>
          </w:p>
        </w:tc>
      </w:tr>
    </w:tbl>
    <w:p w14:paraId="5E993300" w14:textId="77777777"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9FF39" w14:textId="77777777" w:rsidR="00A972A5" w:rsidRDefault="00A972A5" w:rsidP="00874B86">
      <w:r>
        <w:separator/>
      </w:r>
    </w:p>
  </w:endnote>
  <w:endnote w:type="continuationSeparator" w:id="0">
    <w:p w14:paraId="51C36E76" w14:textId="77777777" w:rsidR="00A972A5" w:rsidRDefault="00A972A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A972A5" w14:paraId="59F69C2F" w14:textId="77777777" w:rsidTr="005C40E5">
      <w:trPr>
        <w:trHeight w:val="440"/>
      </w:trPr>
      <w:tc>
        <w:tcPr>
          <w:tcW w:w="10980" w:type="dxa"/>
          <w:vAlign w:val="center"/>
        </w:tcPr>
        <w:p w14:paraId="75946BC0" w14:textId="77777777" w:rsidR="00A972A5" w:rsidRPr="00701024" w:rsidRDefault="00A972A5"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4D2A597" w14:textId="77777777" w:rsidR="00A972A5" w:rsidRPr="00701024" w:rsidRDefault="00A972A5">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F0B94" w14:textId="77777777" w:rsidR="00A972A5" w:rsidRDefault="00A972A5" w:rsidP="00874B86">
      <w:r>
        <w:separator/>
      </w:r>
    </w:p>
  </w:footnote>
  <w:footnote w:type="continuationSeparator" w:id="0">
    <w:p w14:paraId="2A44F49B" w14:textId="77777777" w:rsidR="00A972A5" w:rsidRDefault="00A972A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8C3E7" w14:textId="77777777" w:rsidR="00A972A5" w:rsidRDefault="0029122D">
    <w:pPr>
      <w:pStyle w:val="Header"/>
    </w:pPr>
    <w:r>
      <w:rPr>
        <w:noProof/>
      </w:rPr>
      <w:pict w14:anchorId="46A55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34D75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0">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3">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6">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7">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5"/>
  </w:num>
  <w:num w:numId="5">
    <w:abstractNumId w:val="38"/>
  </w:num>
  <w:num w:numId="6">
    <w:abstractNumId w:val="9"/>
  </w:num>
  <w:num w:numId="7">
    <w:abstractNumId w:val="22"/>
  </w:num>
  <w:num w:numId="8">
    <w:abstractNumId w:val="5"/>
  </w:num>
  <w:num w:numId="9">
    <w:abstractNumId w:val="32"/>
  </w:num>
  <w:num w:numId="10">
    <w:abstractNumId w:val="18"/>
  </w:num>
  <w:num w:numId="11">
    <w:abstractNumId w:val="15"/>
  </w:num>
  <w:num w:numId="12">
    <w:abstractNumId w:val="34"/>
  </w:num>
  <w:num w:numId="13">
    <w:abstractNumId w:val="11"/>
  </w:num>
  <w:num w:numId="14">
    <w:abstractNumId w:val="12"/>
  </w:num>
  <w:num w:numId="15">
    <w:abstractNumId w:val="10"/>
  </w:num>
  <w:num w:numId="16">
    <w:abstractNumId w:val="25"/>
  </w:num>
  <w:num w:numId="17">
    <w:abstractNumId w:val="36"/>
  </w:num>
  <w:num w:numId="18">
    <w:abstractNumId w:val="17"/>
  </w:num>
  <w:num w:numId="19">
    <w:abstractNumId w:val="29"/>
  </w:num>
  <w:num w:numId="20">
    <w:abstractNumId w:val="3"/>
  </w:num>
  <w:num w:numId="21">
    <w:abstractNumId w:val="7"/>
  </w:num>
  <w:num w:numId="22">
    <w:abstractNumId w:val="2"/>
  </w:num>
  <w:num w:numId="23">
    <w:abstractNumId w:val="16"/>
  </w:num>
  <w:num w:numId="24">
    <w:abstractNumId w:val="24"/>
  </w:num>
  <w:num w:numId="25">
    <w:abstractNumId w:val="4"/>
  </w:num>
  <w:num w:numId="26">
    <w:abstractNumId w:val="0"/>
  </w:num>
  <w:num w:numId="27">
    <w:abstractNumId w:val="23"/>
  </w:num>
  <w:num w:numId="28">
    <w:abstractNumId w:val="31"/>
  </w:num>
  <w:num w:numId="29">
    <w:abstractNumId w:val="14"/>
  </w:num>
  <w:num w:numId="30">
    <w:abstractNumId w:val="30"/>
  </w:num>
  <w:num w:numId="31">
    <w:abstractNumId w:val="8"/>
  </w:num>
  <w:num w:numId="32">
    <w:abstractNumId w:val="33"/>
  </w:num>
  <w:num w:numId="33">
    <w:abstractNumId w:val="27"/>
  </w:num>
  <w:num w:numId="34">
    <w:abstractNumId w:val="28"/>
  </w:num>
  <w:num w:numId="35">
    <w:abstractNumId w:val="21"/>
  </w:num>
  <w:num w:numId="36">
    <w:abstractNumId w:val="37"/>
  </w:num>
  <w:num w:numId="37">
    <w:abstractNumId w:val="26"/>
  </w:num>
  <w:num w:numId="38">
    <w:abstractNumId w:val="19"/>
  </w:num>
  <w:num w:numId="3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276F3"/>
    <w:rsid w:val="0016087C"/>
    <w:rsid w:val="00161A12"/>
    <w:rsid w:val="001767B8"/>
    <w:rsid w:val="001838A0"/>
    <w:rsid w:val="001A2490"/>
    <w:rsid w:val="001A7128"/>
    <w:rsid w:val="001A732C"/>
    <w:rsid w:val="001B5AE8"/>
    <w:rsid w:val="001B7C99"/>
    <w:rsid w:val="001C4A7F"/>
    <w:rsid w:val="001E36E7"/>
    <w:rsid w:val="001E6192"/>
    <w:rsid w:val="001E7922"/>
    <w:rsid w:val="001F26BB"/>
    <w:rsid w:val="001F63BC"/>
    <w:rsid w:val="002029B1"/>
    <w:rsid w:val="00202B35"/>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122D"/>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5DD1"/>
    <w:rsid w:val="005E7BE5"/>
    <w:rsid w:val="005F6B08"/>
    <w:rsid w:val="0060605B"/>
    <w:rsid w:val="0060696E"/>
    <w:rsid w:val="00607FE9"/>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6095E"/>
    <w:rsid w:val="00974732"/>
    <w:rsid w:val="00975BF5"/>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3418"/>
    <w:rsid w:val="00B14985"/>
    <w:rsid w:val="00B21C31"/>
    <w:rsid w:val="00B25A59"/>
    <w:rsid w:val="00B26D15"/>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E4C13"/>
    <w:rsid w:val="00EF556C"/>
    <w:rsid w:val="00F106B3"/>
    <w:rsid w:val="00F11ACA"/>
    <w:rsid w:val="00F13FE9"/>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2FE4DAED"/>
  <w14:defaultImageDpi w14:val="300"/>
  <w15:docId w15:val="{3863A5DA-24FC-4B24-8F5C-63D6F695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835999414">
      <w:bodyDiv w:val="1"/>
      <w:marLeft w:val="0"/>
      <w:marRight w:val="0"/>
      <w:marTop w:val="0"/>
      <w:marBottom w:val="0"/>
      <w:divBdr>
        <w:top w:val="none" w:sz="0" w:space="0" w:color="auto"/>
        <w:left w:val="none" w:sz="0" w:space="0" w:color="auto"/>
        <w:bottom w:val="none" w:sz="0" w:space="0" w:color="auto"/>
        <w:right w:val="none" w:sz="0" w:space="0" w:color="auto"/>
      </w:divBdr>
    </w:div>
    <w:div w:id="123948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intranet.utmb.edu/healthsystem/submissions.asp" TargetMode="External"/><Relationship Id="rId18" Type="http://schemas.openxmlformats.org/officeDocument/2006/relationships/hyperlink" Target="http://intranet.utmb.edu/best-care/default.asp" TargetMode="External"/><Relationship Id="rId26" Type="http://schemas.openxmlformats.org/officeDocument/2006/relationships/hyperlink" Target="https://ispace.utmb.edu/xythoswfs/webview/_xy-15336531_1" TargetMode="External"/><Relationship Id="rId3" Type="http://schemas.openxmlformats.org/officeDocument/2006/relationships/styles" Target="styles.xml"/><Relationship Id="rId21" Type="http://schemas.openxmlformats.org/officeDocument/2006/relationships/hyperlink" Target="https://hr.utmb.edu/tod/learn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hyperlink" Target="http://mytaxform.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utsystem.skillport.com/" TargetMode="External"/><Relationship Id="rId29" Type="http://schemas.openxmlformats.org/officeDocument/2006/relationships/hyperlink" Target="mailto:payroll.services@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www.mytaxform.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3.emf"/><Relationship Id="rId28" Type="http://schemas.openxmlformats.org/officeDocument/2006/relationships/hyperlink" Target="http://www.utmb.edu/hcm/hcm_redirect.asp?strApplication=employee%20self%20service" TargetMode="External"/><Relationship Id="rId10" Type="http://schemas.openxmlformats.org/officeDocument/2006/relationships/image" Target="media/image6.jpeg"/><Relationship Id="rId19" Type="http://schemas.openxmlformats.org/officeDocument/2006/relationships/hyperlink" Target="https://hr.utmb.edu/relations/performanc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9.png"/><Relationship Id="rId22" Type="http://schemas.openxmlformats.org/officeDocument/2006/relationships/hyperlink" Target="http://www.utmbwonders.com/utmb-preview" TargetMode="External"/><Relationship Id="rId27" Type="http://schemas.openxmlformats.org/officeDocument/2006/relationships/hyperlink" Target="mailto:hrservic@utmb.edu" TargetMode="External"/><Relationship Id="rId30" Type="http://schemas.openxmlformats.org/officeDocument/2006/relationships/hyperlink" Target="http://www.utmb.edu/busines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F91E-9897-465C-A764-5DD2B973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2017-01-19T17:05:00Z</cp:lastPrinted>
  <dcterms:created xsi:type="dcterms:W3CDTF">2017-01-24T19:47:00Z</dcterms:created>
  <dcterms:modified xsi:type="dcterms:W3CDTF">2017-01-24T19:49:00Z</dcterms:modified>
</cp:coreProperties>
</file>